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罚〔2026〕125</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pPr>
              <w:snapToGrid w:val="0"/>
              <w:spacing w:line="220" w:lineRule="atLeast"/>
              <w:jc w:val="center"/>
              <w:rPr>
                <w:rFonts w:ascii="宋体" w:hAnsi="宋体"/>
                <w:sz w:val="24"/>
              </w:rPr>
            </w:pPr>
            <w:r>
              <w:rPr>
                <w:rFonts w:hint="eastAsia" w:ascii="sans-serif" w:hAnsi="sans-serif" w:eastAsia="宋体" w:cs="sans-serif"/>
                <w:sz w:val="17"/>
                <w:szCs w:val="17"/>
                <w:shd w:val="clear" w:color="auto" w:fill="FFFFFF"/>
              </w:rPr>
              <w:t>/</w:t>
            </w:r>
          </w:p>
        </w:tc>
        <w:tc>
          <w:tcPr>
            <w:tcW w:w="992"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ascii="宋体" w:hAnsi="宋体"/>
                <w:sz w:val="24"/>
              </w:rPr>
            </w:pPr>
            <w:r>
              <w:rPr>
                <w:rFonts w:hint="eastAsia" w:ascii="sans-serif" w:hAnsi="sans-serif" w:eastAsia="宋体" w:cs="sans-serif"/>
                <w:sz w:val="17"/>
                <w:szCs w:val="17"/>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pPr>
              <w:snapToGrid w:val="0"/>
              <w:spacing w:line="220" w:lineRule="atLeast"/>
              <w:jc w:val="center"/>
              <w:rPr>
                <w:rFonts w:ascii="宋体" w:hAnsi="宋体"/>
                <w:sz w:val="24"/>
              </w:rPr>
            </w:pPr>
            <w:r>
              <w:rPr>
                <w:rFonts w:hint="eastAsia" w:ascii="sans-serif" w:hAnsi="sans-serif" w:eastAsia="宋体" w:cs="sans-serif"/>
                <w:sz w:val="17"/>
                <w:szCs w:val="17"/>
                <w:shd w:val="clear" w:color="auto" w:fill="FFFFFF"/>
              </w:rPr>
              <w:t>/</w:t>
            </w:r>
          </w:p>
        </w:tc>
        <w:tc>
          <w:tcPr>
            <w:tcW w:w="992"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snapToGrid w:val="0"/>
              <w:spacing w:line="220" w:lineRule="atLeast"/>
              <w:jc w:val="center"/>
              <w:rPr>
                <w:rFonts w:ascii="宋体" w:hAnsi="宋体"/>
                <w:sz w:val="24"/>
              </w:rPr>
            </w:pPr>
            <w:r>
              <w:rPr>
                <w:rFonts w:hint="eastAsia" w:ascii="sans-serif" w:hAnsi="sans-serif" w:eastAsia="宋体" w:cs="sans-serif"/>
                <w:sz w:val="17"/>
                <w:szCs w:val="17"/>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pPr>
              <w:snapToGrid w:val="0"/>
              <w:spacing w:line="220" w:lineRule="atLeast"/>
              <w:jc w:val="center"/>
              <w:rPr>
                <w:rFonts w:asciiTheme="majorEastAsia" w:hAnsiTheme="majorEastAsia" w:eastAsiaTheme="majorEastAsia" w:cstheme="majorEastAsia"/>
                <w:szCs w:val="21"/>
              </w:rPr>
            </w:pPr>
          </w:p>
        </w:tc>
        <w:tc>
          <w:tcPr>
            <w:tcW w:w="567" w:type="dxa"/>
            <w:vMerge w:val="restart"/>
            <w:vAlign w:val="center"/>
          </w:tcPr>
          <w:p>
            <w:pPr>
              <w:snapToGrid w:val="0"/>
              <w:spacing w:line="220" w:lineRule="atLeas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pacing w:val="-20"/>
                <w:szCs w:val="21"/>
              </w:rPr>
              <w:t>单位</w:t>
            </w:r>
          </w:p>
        </w:tc>
        <w:tc>
          <w:tcPr>
            <w:tcW w:w="1597" w:type="dxa"/>
            <w:vAlign w:val="center"/>
          </w:tcPr>
          <w:p>
            <w:pPr>
              <w:snapToGrid w:val="0"/>
              <w:spacing w:line="30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名 　 称</w:t>
            </w:r>
          </w:p>
        </w:tc>
        <w:tc>
          <w:tcPr>
            <w:tcW w:w="5764" w:type="dxa"/>
            <w:gridSpan w:val="4"/>
          </w:tcPr>
          <w:p>
            <w:pPr>
              <w:jc w:val="center"/>
              <w:rPr>
                <w:rFonts w:asciiTheme="majorEastAsia" w:hAnsiTheme="majorEastAsia" w:eastAsiaTheme="majorEastAsia" w:cstheme="majorEastAsia"/>
                <w:szCs w:val="21"/>
              </w:rPr>
            </w:pPr>
            <w:r>
              <w:rPr>
                <w:rFonts w:ascii="sans-serif" w:hAnsi="sans-serif" w:eastAsia="sans-serif" w:cs="sans-serif"/>
                <w:sz w:val="17"/>
                <w:szCs w:val="17"/>
                <w:shd w:val="clear" w:color="auto" w:fill="FFFFFF"/>
              </w:rPr>
              <w:t>广西奔马粤盛运输有限公司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pPr>
              <w:snapToGrid w:val="0"/>
              <w:spacing w:line="220" w:lineRule="atLeast"/>
              <w:jc w:val="center"/>
              <w:rPr>
                <w:rFonts w:asciiTheme="majorEastAsia" w:hAnsiTheme="majorEastAsia" w:eastAsiaTheme="majorEastAsia" w:cstheme="majorEastAsia"/>
                <w:szCs w:val="21"/>
              </w:rPr>
            </w:pPr>
          </w:p>
        </w:tc>
        <w:tc>
          <w:tcPr>
            <w:tcW w:w="567" w:type="dxa"/>
            <w:vMerge w:val="continue"/>
            <w:vAlign w:val="center"/>
          </w:tcPr>
          <w:p>
            <w:pPr>
              <w:snapToGrid w:val="0"/>
              <w:spacing w:line="220" w:lineRule="atLeast"/>
              <w:jc w:val="center"/>
              <w:rPr>
                <w:rFonts w:asciiTheme="majorEastAsia" w:hAnsiTheme="majorEastAsia" w:eastAsiaTheme="majorEastAsia" w:cstheme="majorEastAsia"/>
                <w:szCs w:val="21"/>
              </w:rPr>
            </w:pPr>
          </w:p>
        </w:tc>
        <w:tc>
          <w:tcPr>
            <w:tcW w:w="1597" w:type="dxa"/>
            <w:vAlign w:val="center"/>
          </w:tcPr>
          <w:p>
            <w:pPr>
              <w:snapToGrid w:val="0"/>
              <w:spacing w:line="300" w:lineRule="exact"/>
              <w:ind w:firstLine="105" w:firstLineChars="5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地    址</w:t>
            </w:r>
          </w:p>
        </w:tc>
        <w:tc>
          <w:tcPr>
            <w:tcW w:w="5764" w:type="dxa"/>
            <w:gridSpan w:val="4"/>
          </w:tcPr>
          <w:p>
            <w:pPr>
              <w:jc w:val="center"/>
              <w:rPr>
                <w:rFonts w:asciiTheme="majorEastAsia" w:hAnsiTheme="majorEastAsia" w:eastAsiaTheme="majorEastAsia" w:cstheme="majorEastAsia"/>
                <w:szCs w:val="21"/>
              </w:rPr>
            </w:pPr>
            <w:r>
              <w:rPr>
                <w:rFonts w:ascii="sans-serif" w:hAnsi="sans-serif" w:eastAsia="sans-serif" w:cs="sans-serif"/>
                <w:sz w:val="17"/>
                <w:szCs w:val="17"/>
                <w:shd w:val="clear" w:color="auto" w:fill="FFFFFF"/>
              </w:rPr>
              <w:t>广西玉林市玉州区人民东路 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pPr>
              <w:snapToGrid w:val="0"/>
              <w:spacing w:line="220" w:lineRule="atLeast"/>
              <w:jc w:val="center"/>
              <w:rPr>
                <w:rFonts w:asciiTheme="majorEastAsia" w:hAnsiTheme="majorEastAsia" w:eastAsiaTheme="majorEastAsia" w:cstheme="majorEastAsia"/>
                <w:szCs w:val="21"/>
              </w:rPr>
            </w:pPr>
          </w:p>
        </w:tc>
        <w:tc>
          <w:tcPr>
            <w:tcW w:w="567" w:type="dxa"/>
            <w:vMerge w:val="continue"/>
            <w:vAlign w:val="center"/>
          </w:tcPr>
          <w:p>
            <w:pPr>
              <w:snapToGrid w:val="0"/>
              <w:spacing w:line="220" w:lineRule="atLeast"/>
              <w:rPr>
                <w:rFonts w:asciiTheme="majorEastAsia" w:hAnsiTheme="majorEastAsia" w:eastAsiaTheme="majorEastAsia" w:cstheme="majorEastAsia"/>
                <w:szCs w:val="21"/>
              </w:rPr>
            </w:pPr>
          </w:p>
        </w:tc>
        <w:tc>
          <w:tcPr>
            <w:tcW w:w="1597" w:type="dxa"/>
            <w:vAlign w:val="center"/>
          </w:tcPr>
          <w:p>
            <w:pPr>
              <w:snapToGrid w:val="0"/>
              <w:spacing w:line="300" w:lineRule="exact"/>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联系电话</w:t>
            </w:r>
          </w:p>
        </w:tc>
        <w:tc>
          <w:tcPr>
            <w:tcW w:w="3071" w:type="dxa"/>
            <w:gridSpan w:val="2"/>
            <w:vAlign w:val="center"/>
          </w:tcPr>
          <w:p>
            <w:pPr>
              <w:snapToGrid w:val="0"/>
              <w:spacing w:line="300" w:lineRule="exact"/>
              <w:jc w:val="center"/>
              <w:rPr>
                <w:rFonts w:asciiTheme="majorEastAsia" w:hAnsiTheme="majorEastAsia" w:eastAsiaTheme="majorEastAsia" w:cstheme="majorEastAsia"/>
                <w:szCs w:val="21"/>
              </w:rPr>
            </w:pPr>
            <w:r>
              <w:rPr>
                <w:rFonts w:ascii="sans-serif" w:hAnsi="sans-serif" w:eastAsia="sans-serif" w:cs="sans-serif"/>
                <w:sz w:val="17"/>
                <w:szCs w:val="17"/>
                <w:shd w:val="clear" w:color="auto" w:fill="FFFFFF"/>
              </w:rPr>
              <w:t>077</w:t>
            </w:r>
            <w:r>
              <w:rPr>
                <w:rFonts w:hint="eastAsia" w:ascii="sans-serif" w:hAnsi="sans-serif" w:eastAsia="宋体" w:cs="sans-serif"/>
                <w:sz w:val="17"/>
                <w:szCs w:val="17"/>
                <w:shd w:val="clear" w:color="auto" w:fill="FFFFFF"/>
              </w:rPr>
              <w:t>****</w:t>
            </w:r>
            <w:r>
              <w:rPr>
                <w:rFonts w:ascii="sans-serif" w:hAnsi="sans-serif" w:eastAsia="sans-serif" w:cs="sans-serif"/>
                <w:sz w:val="17"/>
                <w:szCs w:val="17"/>
                <w:shd w:val="clear" w:color="auto" w:fill="FFFFFF"/>
              </w:rPr>
              <w:t>8670</w:t>
            </w:r>
          </w:p>
        </w:tc>
        <w:tc>
          <w:tcPr>
            <w:tcW w:w="992" w:type="dxa"/>
            <w:vAlign w:val="center"/>
          </w:tcPr>
          <w:p>
            <w:pPr>
              <w:snapToGrid w:val="0"/>
              <w:spacing w:line="300" w:lineRule="exact"/>
              <w:ind w:left="105" w:hanging="105" w:hangingChars="50"/>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 xml:space="preserve"> 法定代表人</w:t>
            </w:r>
          </w:p>
        </w:tc>
        <w:tc>
          <w:tcPr>
            <w:tcW w:w="1701" w:type="dxa"/>
            <w:vAlign w:val="center"/>
          </w:tcPr>
          <w:p>
            <w:pPr>
              <w:snapToGrid w:val="0"/>
              <w:spacing w:line="300" w:lineRule="exact"/>
              <w:jc w:val="center"/>
              <w:rPr>
                <w:rFonts w:asciiTheme="majorEastAsia" w:hAnsiTheme="majorEastAsia" w:eastAsiaTheme="majorEastAsia" w:cstheme="majorEastAsia"/>
                <w:szCs w:val="21"/>
              </w:rPr>
            </w:pPr>
            <w:r>
              <w:rPr>
                <w:rFonts w:ascii="sans-serif" w:hAnsi="sans-serif" w:eastAsia="sans-serif" w:cs="sans-serif"/>
                <w:sz w:val="17"/>
                <w:szCs w:val="17"/>
                <w:shd w:val="clear" w:color="auto" w:fill="FFFFFF"/>
              </w:rPr>
              <w:t>梁寿兰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asciiTheme="majorEastAsia" w:hAnsiTheme="majorEastAsia" w:eastAsiaTheme="majorEastAsia" w:cstheme="majorEastAsia"/>
                <w:szCs w:val="21"/>
              </w:rPr>
            </w:pPr>
          </w:p>
        </w:tc>
        <w:tc>
          <w:tcPr>
            <w:tcW w:w="567" w:type="dxa"/>
            <w:vMerge w:val="continue"/>
            <w:vAlign w:val="center"/>
          </w:tcPr>
          <w:p>
            <w:pPr>
              <w:snapToGrid w:val="0"/>
              <w:spacing w:line="220" w:lineRule="atLeast"/>
              <w:rPr>
                <w:rFonts w:asciiTheme="majorEastAsia" w:hAnsiTheme="majorEastAsia" w:eastAsiaTheme="majorEastAsia" w:cstheme="majorEastAsia"/>
                <w:szCs w:val="21"/>
              </w:rPr>
            </w:pPr>
          </w:p>
        </w:tc>
        <w:tc>
          <w:tcPr>
            <w:tcW w:w="2884" w:type="dxa"/>
            <w:gridSpan w:val="2"/>
            <w:vAlign w:val="center"/>
          </w:tcPr>
          <w:p>
            <w:pPr>
              <w:snapToGrid w:val="0"/>
              <w:spacing w:line="300" w:lineRule="exact"/>
              <w:jc w:val="center"/>
              <w:rPr>
                <w:rFonts w:asciiTheme="majorEastAsia" w:hAnsiTheme="majorEastAsia" w:eastAsiaTheme="majorEastAsia" w:cstheme="majorEastAsia"/>
                <w:szCs w:val="21"/>
              </w:rPr>
            </w:pPr>
            <w:r>
              <w:rPr>
                <w:rFonts w:hint="eastAsia" w:asciiTheme="majorEastAsia" w:hAnsiTheme="majorEastAsia" w:eastAsiaTheme="majorEastAsia" w:cstheme="majorEastAsia"/>
                <w:szCs w:val="21"/>
              </w:rPr>
              <w:t>统一社会信用代码</w:t>
            </w:r>
          </w:p>
        </w:tc>
        <w:tc>
          <w:tcPr>
            <w:tcW w:w="4477" w:type="dxa"/>
            <w:gridSpan w:val="3"/>
            <w:vAlign w:val="center"/>
          </w:tcPr>
          <w:p>
            <w:pPr>
              <w:snapToGrid w:val="0"/>
              <w:spacing w:line="300" w:lineRule="exact"/>
              <w:jc w:val="center"/>
              <w:rPr>
                <w:rFonts w:asciiTheme="majorEastAsia" w:hAnsiTheme="majorEastAsia" w:eastAsiaTheme="majorEastAsia" w:cstheme="majorEastAsia"/>
                <w:szCs w:val="21"/>
              </w:rPr>
            </w:pPr>
            <w:r>
              <w:rPr>
                <w:rFonts w:ascii="sans-serif" w:hAnsi="sans-serif" w:eastAsia="宋体" w:cs="sans-serif"/>
                <w:sz w:val="17"/>
                <w:szCs w:val="17"/>
                <w:shd w:val="clear" w:color="auto" w:fill="FFFFFF"/>
              </w:rPr>
              <w:t>91450902MABWN8EQ5R</w:t>
            </w:r>
          </w:p>
        </w:tc>
      </w:tr>
    </w:tbl>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一、违法事实。 2026年 03月 17日 09时 00分，玉林市交通运输局执法人员吕尚伦,苏泓宇（执法证号分别为 45091060,20090017106）经部门移送玉林市道路运输发展第一分中心（广西奔马粤盛运输有限公司所属桂 KK6750大型普通客车 2026年 01月 01日至 16日内" 客运违规客运班车超越许可事项运营"），约谈该车辆司机到执法三大队</w:t>
      </w:r>
      <w:bookmarkStart w:id="0" w:name="_GoBack"/>
      <w:bookmarkEnd w:id="0"/>
      <w:r>
        <w:rPr>
          <w:rFonts w:ascii="sans-serif" w:hAnsi="sans-serif" w:eastAsia="sans-serif" w:cs="sans-serif"/>
          <w:kern w:val="0"/>
          <w:sz w:val="17"/>
          <w:szCs w:val="17"/>
          <w:shd w:val="clear" w:color="auto" w:fill="FFFFFF"/>
          <w:lang w:bidi="ar"/>
        </w:rPr>
        <w:t>核实具体情况：2026年 01月 01日驾驶员张传明驾驶广西奔马粤盛运输有限公司所属桂 KK6750大型普通客车实施从玉林至深圳的道路旅客运输，车辆道路运输证号为 450901546894，驾驶人员从业资格证号为 4409**********5415。广西奔马粤盛运输有限公司具有从玉林到深圳班线经营许可资质，桂 KK6750大型普通客车班线客运标志牌上载明的运行线路为龙潭、湛江、茂名、江门、广州、东莞。经执法人员核查车辆当天行驶轨迹，该车辆 2026年 01月 05日 17时 45分在高州，高州不在龙潭、湛江、茂名、江门、广州、东莞内，该趟运输途经高州无正当事由。当事人的行为构成客运班车不按规定的线路行驶，违法程度为情节较轻。</w:t>
      </w:r>
    </w:p>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二、证据。上述违法事实有现场笔录、询问笔录、营业执照复制件、从业资格证复制件、当事人身份证复制件、授权委托书复制件、法定代表人身份证复制件、行驶证复制件、道路运输证复制件、询问相片、·动态监控截图、线路牌、关于抄告广西奔马粤盛运输有限公司所属客车涉嫌客运班车不按照批准的配客站点停靠和不按照规定的线路运行的函证明。</w:t>
      </w:r>
    </w:p>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三、陈述申辩及听证情况。本机关已依法告知当事人具有陈述、申辩的权利，当事人自愿放弃陈述、申辩。</w:t>
      </w:r>
    </w:p>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四、法律依据。你（单位）的行为违反了《中华人民共和国道路运输条例》第八条第二款的规定。</w:t>
      </w:r>
    </w:p>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五、处罚决定。依据《中华人民共和国道路运输条例》第六十八条第一款第一项的规定，参照《广西壮族自治区道路运输行政处罚裁量权基准》（桂交规〔2023〕3 号）的规定。本机关依法作出罚款人民币壹仟壹佰元整（¥1100）的处罚决定。</w:t>
      </w:r>
    </w:p>
    <w:p>
      <w:pPr>
        <w:widowControl/>
        <w:shd w:val="clear" w:color="auto" w:fill="FFFFFF"/>
        <w:spacing w:line="12" w:lineRule="atLeast"/>
        <w:jc w:val="lef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widowControl/>
        <w:shd w:val="clear" w:color="auto" w:fill="FFFFFF"/>
        <w:spacing w:line="12" w:lineRule="atLeast"/>
        <w:jc w:val="right"/>
        <w:rPr>
          <w:rFonts w:ascii="sans-serif" w:hAnsi="sans-serif" w:eastAsia="sans-serif" w:cs="sans-serif"/>
          <w:kern w:val="0"/>
          <w:sz w:val="17"/>
          <w:szCs w:val="17"/>
          <w:shd w:val="clear" w:color="auto" w:fill="FFFFFF"/>
          <w:lang w:bidi="ar"/>
        </w:rPr>
      </w:pPr>
      <w:r>
        <w:rPr>
          <w:rFonts w:ascii="sans-serif" w:hAnsi="sans-serif" w:eastAsia="sans-serif" w:cs="sans-serif"/>
          <w:kern w:val="0"/>
          <w:sz w:val="17"/>
          <w:szCs w:val="17"/>
          <w:shd w:val="clear" w:color="auto" w:fill="FFFFFF"/>
          <w:lang w:bidi="ar"/>
        </w:rPr>
        <w:t>玉林市交通运输局</w:t>
      </w:r>
    </w:p>
    <w:p>
      <w:pPr>
        <w:widowControl/>
        <w:shd w:val="clear" w:color="auto" w:fill="FFFFFF"/>
        <w:spacing w:line="12" w:lineRule="atLeast"/>
        <w:jc w:val="right"/>
      </w:pPr>
      <w:r>
        <w:rPr>
          <w:rFonts w:ascii="sans-serif" w:hAnsi="sans-serif" w:eastAsia="sans-serif" w:cs="sans-serif"/>
          <w:kern w:val="0"/>
          <w:sz w:val="17"/>
          <w:szCs w:val="17"/>
          <w:shd w:val="clear" w:color="auto" w:fill="FFFFFF"/>
          <w:lang w:bidi="ar"/>
        </w:rPr>
        <w:t xml:space="preserve"> 2026年 03月 20日</w:t>
      </w:r>
    </w:p>
    <w:p>
      <w:pPr>
        <w:widowControl/>
        <w:shd w:val="clear" w:color="auto" w:fill="FFFFFF"/>
        <w:spacing w:line="12" w:lineRule="atLeast"/>
        <w:jc w:val="left"/>
        <w:rPr>
          <w:rFonts w:ascii="Arial" w:hAnsi="Arial" w:cs="Arial"/>
          <w:color w:val="000000"/>
          <w:sz w:val="19"/>
          <w:szCs w:val="19"/>
        </w:rPr>
      </w:pPr>
    </w:p>
    <w:p>
      <w:pPr>
        <w:widowControl/>
        <w:shd w:val="clear" w:color="auto" w:fill="FFFFFF"/>
        <w:spacing w:line="12" w:lineRule="atLeast"/>
        <w:jc w:val="right"/>
      </w:pPr>
    </w:p>
    <w:p>
      <w:pPr>
        <w:widowControl/>
        <w:shd w:val="clear" w:color="auto" w:fill="FFFFFF"/>
        <w:spacing w:line="12" w:lineRule="atLeast"/>
        <w:jc w:val="left"/>
        <w:rPr>
          <w:rFonts w:ascii="Arial" w:hAnsi="Arial" w:cs="Arial"/>
          <w:color w:val="000000"/>
          <w:sz w:val="19"/>
          <w:szCs w:val="19"/>
        </w:rPr>
      </w:pPr>
    </w:p>
    <w:p>
      <w:pPr>
        <w:widowControl/>
        <w:shd w:val="clear" w:color="auto" w:fill="FFFFFF"/>
        <w:spacing w:line="12" w:lineRule="atLeast"/>
      </w:pPr>
    </w:p>
    <w:p>
      <w:pPr>
        <w:widowControl/>
        <w:shd w:val="clear" w:color="auto" w:fill="FFFFFF"/>
        <w:rPr>
          <w:rFonts w:asciiTheme="majorEastAsia" w:hAnsiTheme="majorEastAsia" w:eastAsiaTheme="majorEastAsia" w:cstheme="majorEastAsia"/>
          <w:szCs w:val="21"/>
          <w:shd w:val="clear" w:color="auto" w:fill="FFFFFF"/>
        </w:rPr>
      </w:pPr>
    </w:p>
    <w:p>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B6A4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37AF6"/>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945196A"/>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2EE7237C"/>
    <w:rsid w:val="368F25A7"/>
    <w:rsid w:val="3B5510F0"/>
    <w:rsid w:val="411A1543"/>
    <w:rsid w:val="42CB3072"/>
    <w:rsid w:val="43E53E71"/>
    <w:rsid w:val="43ED3B93"/>
    <w:rsid w:val="448E4357"/>
    <w:rsid w:val="46BB285E"/>
    <w:rsid w:val="4B7F0E9E"/>
    <w:rsid w:val="4C962CF7"/>
    <w:rsid w:val="4CEF6A74"/>
    <w:rsid w:val="4D0F7F9F"/>
    <w:rsid w:val="52966C02"/>
    <w:rsid w:val="52C05290"/>
    <w:rsid w:val="540B2151"/>
    <w:rsid w:val="58316478"/>
    <w:rsid w:val="5EE97798"/>
    <w:rsid w:val="6540227E"/>
    <w:rsid w:val="6AD446E1"/>
    <w:rsid w:val="74275AAB"/>
    <w:rsid w:val="74AE2972"/>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字符"/>
    <w:basedOn w:val="6"/>
    <w:link w:val="2"/>
    <w:semiHidden/>
    <w:qFormat/>
    <w:uiPriority w:val="99"/>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207</Words>
  <Characters>1185</Characters>
  <Lines>9</Lines>
  <Paragraphs>2</Paragraphs>
  <TotalTime>30</TotalTime>
  <ScaleCrop>false</ScaleCrop>
  <LinksUpToDate>false</LinksUpToDate>
  <CharactersWithSpaces>1390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2026-03-27T00:45:01Z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